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E358" w14:textId="2E36DF1B" w:rsidR="00CF3D83" w:rsidRDefault="002011B2">
      <w:pPr>
        <w:pStyle w:val="Title"/>
        <w:spacing w:line="276" w:lineRule="auto"/>
      </w:pPr>
      <w:r>
        <w:t>Education</w:t>
      </w:r>
      <w:r>
        <w:rPr>
          <w:spacing w:val="-14"/>
        </w:rPr>
        <w:t xml:space="preserve"> </w:t>
      </w:r>
      <w:r>
        <w:t>Workforce</w:t>
      </w:r>
      <w:r>
        <w:rPr>
          <w:spacing w:val="-14"/>
        </w:rPr>
        <w:t xml:space="preserve"> </w:t>
      </w:r>
      <w:r>
        <w:t>Housing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California:</w:t>
      </w:r>
      <w:r>
        <w:rPr>
          <w:spacing w:val="-79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21</w:t>
      </w:r>
      <w:r w:rsidRPr="00D544B1">
        <w:rPr>
          <w:vertAlign w:val="superscript"/>
        </w:rPr>
        <w:t>st</w:t>
      </w:r>
      <w:r w:rsidR="00D05C93">
        <w:rPr>
          <w:spacing w:val="-1"/>
        </w:rPr>
        <w:t>-</w:t>
      </w:r>
      <w:r>
        <w:t>Century</w:t>
      </w:r>
      <w:r>
        <w:rPr>
          <w:spacing w:val="-1"/>
        </w:rPr>
        <w:t xml:space="preserve"> </w:t>
      </w:r>
      <w:r>
        <w:t>Campus</w:t>
      </w:r>
    </w:p>
    <w:p w14:paraId="5D65E359" w14:textId="20F7E33F" w:rsidR="00CF3D83" w:rsidRDefault="002011B2">
      <w:pPr>
        <w:spacing w:line="276" w:lineRule="auto"/>
        <w:ind w:left="1012" w:right="1010"/>
        <w:jc w:val="center"/>
        <w:rPr>
          <w:b/>
          <w:i/>
          <w:sz w:val="24"/>
        </w:rPr>
      </w:pPr>
      <w:r>
        <w:rPr>
          <w:b/>
          <w:i/>
          <w:sz w:val="24"/>
        </w:rPr>
        <w:t>Collaborative</w:t>
      </w:r>
      <w:r>
        <w:rPr>
          <w:b/>
          <w:i/>
          <w:spacing w:val="-4"/>
          <w:sz w:val="24"/>
        </w:rPr>
        <w:t xml:space="preserve"> </w:t>
      </w:r>
      <w:r w:rsidR="00D05C93">
        <w:rPr>
          <w:b/>
          <w:i/>
          <w:sz w:val="24"/>
        </w:rPr>
        <w:t>r</w:t>
      </w:r>
      <w:r>
        <w:rPr>
          <w:b/>
          <w:i/>
          <w:sz w:val="24"/>
        </w:rPr>
        <w:t>esearch</w:t>
      </w:r>
      <w:r>
        <w:rPr>
          <w:b/>
          <w:i/>
          <w:spacing w:val="-3"/>
          <w:sz w:val="24"/>
        </w:rPr>
        <w:t xml:space="preserve"> </w:t>
      </w:r>
      <w:r w:rsidR="00D05C93">
        <w:rPr>
          <w:b/>
          <w:i/>
          <w:sz w:val="24"/>
        </w:rPr>
        <w:t>r</w:t>
      </w:r>
      <w:r>
        <w:rPr>
          <w:b/>
          <w:i/>
          <w:sz w:val="24"/>
        </w:rPr>
        <w:t>eport</w:t>
      </w:r>
      <w:r>
        <w:rPr>
          <w:b/>
          <w:i/>
          <w:spacing w:val="-4"/>
          <w:sz w:val="24"/>
        </w:rPr>
        <w:t xml:space="preserve"> </w:t>
      </w:r>
      <w:r w:rsidR="00D05C93"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 w:rsidR="00D05C93">
        <w:rPr>
          <w:b/>
          <w:i/>
          <w:sz w:val="24"/>
        </w:rPr>
        <w:t>h</w:t>
      </w:r>
      <w:r>
        <w:rPr>
          <w:b/>
          <w:i/>
          <w:sz w:val="24"/>
        </w:rPr>
        <w:t>andbook</w:t>
      </w:r>
      <w:r>
        <w:rPr>
          <w:b/>
          <w:i/>
          <w:spacing w:val="-4"/>
          <w:sz w:val="24"/>
        </w:rPr>
        <w:t xml:space="preserve"> </w:t>
      </w:r>
      <w:r w:rsidR="00D05C93">
        <w:rPr>
          <w:b/>
          <w:i/>
          <w:sz w:val="24"/>
        </w:rPr>
        <w:t>g</w:t>
      </w:r>
      <w:r>
        <w:rPr>
          <w:b/>
          <w:i/>
          <w:sz w:val="24"/>
        </w:rPr>
        <w:t>uide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California</w:t>
      </w:r>
      <w:r>
        <w:rPr>
          <w:b/>
          <w:i/>
          <w:spacing w:val="-3"/>
          <w:sz w:val="24"/>
        </w:rPr>
        <w:t xml:space="preserve"> </w:t>
      </w:r>
      <w:r w:rsidR="00D05C93">
        <w:rPr>
          <w:b/>
          <w:i/>
          <w:sz w:val="24"/>
        </w:rPr>
        <w:t>s</w:t>
      </w:r>
      <w:r>
        <w:rPr>
          <w:b/>
          <w:i/>
          <w:sz w:val="24"/>
        </w:rPr>
        <w:t>chool</w:t>
      </w:r>
      <w:r>
        <w:rPr>
          <w:b/>
          <w:i/>
          <w:spacing w:val="-4"/>
          <w:sz w:val="24"/>
        </w:rPr>
        <w:t xml:space="preserve"> </w:t>
      </w:r>
      <w:proofErr w:type="gramStart"/>
      <w:r w:rsidR="00D05C93">
        <w:rPr>
          <w:b/>
          <w:i/>
          <w:sz w:val="24"/>
        </w:rPr>
        <w:t>d</w:t>
      </w:r>
      <w:r>
        <w:rPr>
          <w:b/>
          <w:i/>
          <w:sz w:val="24"/>
        </w:rPr>
        <w:t>istricts</w:t>
      </w:r>
      <w:r w:rsidR="00D05C93">
        <w:rPr>
          <w:b/>
          <w:i/>
          <w:sz w:val="24"/>
        </w:rPr>
        <w:t xml:space="preserve"> </w:t>
      </w:r>
      <w:r>
        <w:rPr>
          <w:b/>
          <w:i/>
          <w:spacing w:val="-51"/>
          <w:sz w:val="24"/>
        </w:rPr>
        <w:t xml:space="preserve"> </w:t>
      </w:r>
      <w:r>
        <w:rPr>
          <w:b/>
          <w:i/>
          <w:sz w:val="24"/>
        </w:rPr>
        <w:t>in</w:t>
      </w:r>
      <w:proofErr w:type="gramEnd"/>
      <w:r>
        <w:rPr>
          <w:b/>
          <w:i/>
          <w:spacing w:val="-1"/>
          <w:sz w:val="24"/>
        </w:rPr>
        <w:t xml:space="preserve"> </w:t>
      </w:r>
      <w:r w:rsidR="00D05C93">
        <w:rPr>
          <w:b/>
          <w:i/>
          <w:sz w:val="24"/>
        </w:rPr>
        <w:t>b</w:t>
      </w:r>
      <w:r>
        <w:rPr>
          <w:b/>
          <w:i/>
          <w:sz w:val="24"/>
        </w:rPr>
        <w:t xml:space="preserve">uilding </w:t>
      </w:r>
      <w:r w:rsidR="00D05C93">
        <w:rPr>
          <w:b/>
          <w:i/>
          <w:sz w:val="24"/>
        </w:rPr>
        <w:t>a</w:t>
      </w:r>
      <w:r>
        <w:rPr>
          <w:b/>
          <w:i/>
          <w:sz w:val="24"/>
        </w:rPr>
        <w:t xml:space="preserve">ffordable </w:t>
      </w:r>
      <w:r w:rsidR="00D05C93">
        <w:rPr>
          <w:b/>
          <w:i/>
          <w:sz w:val="24"/>
        </w:rPr>
        <w:t>h</w:t>
      </w:r>
      <w:r>
        <w:rPr>
          <w:b/>
          <w:i/>
          <w:sz w:val="24"/>
        </w:rPr>
        <w:t xml:space="preserve">ousing for </w:t>
      </w:r>
      <w:r w:rsidR="00D05C93">
        <w:rPr>
          <w:b/>
          <w:i/>
          <w:sz w:val="24"/>
        </w:rPr>
        <w:t>t</w:t>
      </w:r>
      <w:r>
        <w:rPr>
          <w:b/>
          <w:i/>
          <w:sz w:val="24"/>
        </w:rPr>
        <w:t xml:space="preserve">heir </w:t>
      </w:r>
      <w:r w:rsidR="00D05C93">
        <w:rPr>
          <w:b/>
          <w:i/>
          <w:sz w:val="24"/>
        </w:rPr>
        <w:t>e</w:t>
      </w:r>
      <w:r>
        <w:rPr>
          <w:b/>
          <w:i/>
          <w:sz w:val="24"/>
        </w:rPr>
        <w:t>mployees</w:t>
      </w:r>
    </w:p>
    <w:p w14:paraId="5D65E35A" w14:textId="77777777" w:rsidR="00CF3D83" w:rsidRDefault="00CF3D83">
      <w:pPr>
        <w:pStyle w:val="BodyText"/>
        <w:spacing w:before="1"/>
        <w:ind w:left="0"/>
        <w:rPr>
          <w:b/>
          <w:i/>
          <w:sz w:val="25"/>
        </w:rPr>
      </w:pPr>
    </w:p>
    <w:p w14:paraId="7A5A51F0" w14:textId="7E570936" w:rsidR="006A0BD8" w:rsidRDefault="006A0BD8">
      <w:pPr>
        <w:ind w:left="100"/>
        <w:rPr>
          <w:b/>
          <w:spacing w:val="-11"/>
        </w:rPr>
      </w:pPr>
      <w:r>
        <w:rPr>
          <w:b/>
        </w:rPr>
        <w:t xml:space="preserve">Embargoed until </w:t>
      </w:r>
      <w:r w:rsidR="002011B2">
        <w:rPr>
          <w:b/>
        </w:rPr>
        <w:t>Tuesday,</w:t>
      </w:r>
      <w:r w:rsidR="002011B2">
        <w:rPr>
          <w:b/>
          <w:spacing w:val="-12"/>
        </w:rPr>
        <w:t xml:space="preserve"> </w:t>
      </w:r>
      <w:r w:rsidR="00D05C93">
        <w:rPr>
          <w:b/>
        </w:rPr>
        <w:t xml:space="preserve">Feb. </w:t>
      </w:r>
      <w:r w:rsidR="002011B2">
        <w:rPr>
          <w:b/>
        </w:rPr>
        <w:t>15,</w:t>
      </w:r>
      <w:r w:rsidR="002011B2">
        <w:rPr>
          <w:b/>
          <w:spacing w:val="-11"/>
        </w:rPr>
        <w:t xml:space="preserve"> </w:t>
      </w:r>
      <w:r w:rsidR="002011B2">
        <w:rPr>
          <w:b/>
        </w:rPr>
        <w:t>2022.</w:t>
      </w:r>
      <w:r w:rsidR="002011B2">
        <w:rPr>
          <w:b/>
          <w:spacing w:val="-11"/>
        </w:rPr>
        <w:t xml:space="preserve"> </w:t>
      </w:r>
    </w:p>
    <w:p w14:paraId="6B8021F1" w14:textId="77777777" w:rsidR="006A0BD8" w:rsidRDefault="006A0BD8">
      <w:pPr>
        <w:ind w:left="100"/>
        <w:rPr>
          <w:b/>
          <w:spacing w:val="-11"/>
        </w:rPr>
      </w:pPr>
    </w:p>
    <w:p w14:paraId="6727F079" w14:textId="19768E12" w:rsidR="00F675D4" w:rsidRPr="003D2AAC" w:rsidRDefault="002011B2" w:rsidP="003D2AAC">
      <w:pPr>
        <w:ind w:left="100"/>
        <w:rPr>
          <w:b/>
          <w:spacing w:val="-11"/>
        </w:rPr>
      </w:pPr>
      <w:r>
        <w:rPr>
          <w:b/>
        </w:rPr>
        <w:t>Contact:</w:t>
      </w:r>
      <w:r>
        <w:rPr>
          <w:b/>
          <w:spacing w:val="-11"/>
        </w:rPr>
        <w:t xml:space="preserve"> </w:t>
      </w:r>
      <w:r>
        <w:rPr>
          <w:b/>
        </w:rPr>
        <w:t>Troy</w:t>
      </w:r>
      <w:r>
        <w:rPr>
          <w:b/>
          <w:spacing w:val="-11"/>
        </w:rPr>
        <w:t xml:space="preserve"> </w:t>
      </w:r>
      <w:r>
        <w:rPr>
          <w:b/>
        </w:rPr>
        <w:t>Flint</w:t>
      </w:r>
      <w:r w:rsidR="003D2AAC">
        <w:rPr>
          <w:b/>
        </w:rPr>
        <w:t xml:space="preserve">, </w:t>
      </w:r>
      <w:r>
        <w:rPr>
          <w:b/>
        </w:rPr>
        <w:t>Chief</w:t>
      </w:r>
      <w:r>
        <w:rPr>
          <w:b/>
          <w:spacing w:val="-11"/>
        </w:rPr>
        <w:t xml:space="preserve"> </w:t>
      </w:r>
      <w:r>
        <w:rPr>
          <w:b/>
        </w:rPr>
        <w:t>Information</w:t>
      </w:r>
      <w:r>
        <w:rPr>
          <w:b/>
          <w:spacing w:val="-11"/>
        </w:rPr>
        <w:t xml:space="preserve"> </w:t>
      </w:r>
      <w:r>
        <w:rPr>
          <w:b/>
        </w:rPr>
        <w:t>Officer</w:t>
      </w:r>
      <w:r w:rsidR="003D2AAC">
        <w:rPr>
          <w:b/>
          <w:spacing w:val="-11"/>
        </w:rPr>
        <w:t xml:space="preserve">, </w:t>
      </w:r>
      <w:r>
        <w:rPr>
          <w:b/>
        </w:rPr>
        <w:t>California</w:t>
      </w:r>
      <w:r>
        <w:rPr>
          <w:b/>
          <w:spacing w:val="-11"/>
        </w:rPr>
        <w:t xml:space="preserve"> </w:t>
      </w:r>
      <w:r>
        <w:rPr>
          <w:b/>
        </w:rPr>
        <w:t>School</w:t>
      </w:r>
      <w:r>
        <w:rPr>
          <w:b/>
          <w:spacing w:val="-11"/>
        </w:rPr>
        <w:t xml:space="preserve"> </w:t>
      </w:r>
      <w:r>
        <w:rPr>
          <w:b/>
        </w:rPr>
        <w:t>Board</w:t>
      </w:r>
      <w:r w:rsidR="00D05C93">
        <w:rPr>
          <w:b/>
        </w:rPr>
        <w:t>s</w:t>
      </w:r>
      <w:r w:rsidR="00362B78">
        <w:rPr>
          <w:b/>
        </w:rPr>
        <w:t xml:space="preserve"> </w:t>
      </w:r>
      <w:r>
        <w:rPr>
          <w:b/>
          <w:spacing w:val="-1"/>
        </w:rPr>
        <w:t>Association</w:t>
      </w:r>
      <w:r w:rsidR="003D2AAC">
        <w:rPr>
          <w:b/>
          <w:spacing w:val="-1"/>
        </w:rPr>
        <w:t xml:space="preserve">, </w:t>
      </w:r>
      <w:hyperlink r:id="rId6" w:history="1">
        <w:r w:rsidR="003D2AAC" w:rsidRPr="00095836">
          <w:rPr>
            <w:rStyle w:val="Hyperlink"/>
            <w:b/>
          </w:rPr>
          <w:t>tflint@csba.org</w:t>
        </w:r>
      </w:hyperlink>
      <w:r w:rsidR="0099305B">
        <w:rPr>
          <w:b/>
          <w:color w:val="1154CC"/>
          <w:u w:val="thick"/>
        </w:rPr>
        <w:t xml:space="preserve"> </w:t>
      </w:r>
    </w:p>
    <w:p w14:paraId="5D65E35C" w14:textId="6B6D9CDE" w:rsidR="00CF3D83" w:rsidRDefault="002011B2" w:rsidP="0099305B">
      <w:pPr>
        <w:ind w:left="100"/>
        <w:rPr>
          <w:b/>
        </w:rPr>
      </w:pPr>
      <w:r>
        <w:rPr>
          <w:b/>
        </w:rPr>
        <w:t>415.902.8589</w:t>
      </w:r>
    </w:p>
    <w:p w14:paraId="5D65E35D" w14:textId="77777777" w:rsidR="00CF3D83" w:rsidRDefault="00CF3D83">
      <w:pPr>
        <w:pStyle w:val="BodyText"/>
        <w:spacing w:before="7"/>
        <w:ind w:left="0"/>
        <w:rPr>
          <w:b/>
          <w:sz w:val="28"/>
        </w:rPr>
      </w:pPr>
    </w:p>
    <w:p w14:paraId="5D65E35E" w14:textId="6A513066" w:rsidR="00CF3D83" w:rsidRDefault="002011B2">
      <w:pPr>
        <w:pStyle w:val="BodyText"/>
        <w:spacing w:before="1" w:line="276" w:lineRule="auto"/>
        <w:ind w:right="118"/>
      </w:pPr>
      <w:r>
        <w:t>SACRAMENTO, CALIF – Every county in California has public land that may be ideal to build</w:t>
      </w:r>
      <w:r>
        <w:rPr>
          <w:spacing w:val="1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staff,</w:t>
      </w:r>
      <w:r>
        <w:rPr>
          <w:spacing w:val="-8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today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hyperlink r:id="rId7">
        <w:proofErr w:type="spellStart"/>
        <w:r>
          <w:rPr>
            <w:color w:val="1154CC"/>
            <w:u w:val="thick" w:color="1154CC"/>
          </w:rPr>
          <w:t>cityLAB</w:t>
        </w:r>
        <w:proofErr w:type="spellEnd"/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at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the</w:t>
        </w:r>
        <w:r>
          <w:rPr>
            <w:color w:val="1154CC"/>
            <w:spacing w:val="-8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University</w:t>
        </w:r>
        <w:r>
          <w:rPr>
            <w:color w:val="1154CC"/>
            <w:spacing w:val="-7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of</w:t>
        </w:r>
      </w:hyperlink>
      <w:r>
        <w:rPr>
          <w:color w:val="1154CC"/>
          <w:spacing w:val="1"/>
        </w:rPr>
        <w:t xml:space="preserve"> </w:t>
      </w:r>
      <w:hyperlink r:id="rId8">
        <w:r>
          <w:rPr>
            <w:color w:val="1154CC"/>
            <w:u w:val="thick" w:color="1154CC"/>
          </w:rPr>
          <w:t>California, Los Angeles</w:t>
        </w:r>
      </w:hyperlink>
      <w:r>
        <w:t xml:space="preserve">, the </w:t>
      </w:r>
      <w:hyperlink r:id="rId9">
        <w:r>
          <w:rPr>
            <w:color w:val="1154CC"/>
            <w:u w:val="thick" w:color="1154CC"/>
          </w:rPr>
          <w:t>Center for Cities + Schools at U</w:t>
        </w:r>
        <w:r w:rsidR="00D05C93">
          <w:rPr>
            <w:color w:val="1154CC"/>
            <w:u w:val="thick" w:color="1154CC"/>
          </w:rPr>
          <w:t>C</w:t>
        </w:r>
        <w:r>
          <w:rPr>
            <w:color w:val="1154CC"/>
            <w:u w:val="thick" w:color="1154CC"/>
          </w:rPr>
          <w:t>, Berkeley</w:t>
        </w:r>
      </w:hyperlink>
      <w:r>
        <w:t xml:space="preserve"> and the</w:t>
      </w:r>
      <w:r>
        <w:rPr>
          <w:spacing w:val="1"/>
        </w:rPr>
        <w:t xml:space="preserve"> </w:t>
      </w:r>
      <w:hyperlink r:id="rId10">
        <w:proofErr w:type="spellStart"/>
        <w:r>
          <w:rPr>
            <w:color w:val="1154CC"/>
            <w:u w:val="thick" w:color="1154CC"/>
          </w:rPr>
          <w:t>Terner</w:t>
        </w:r>
        <w:proofErr w:type="spellEnd"/>
        <w:r>
          <w:rPr>
            <w:color w:val="1154CC"/>
            <w:u w:val="thick" w:color="1154CC"/>
          </w:rPr>
          <w:t xml:space="preserve"> Center for Housing Innovation at U</w:t>
        </w:r>
        <w:r w:rsidR="00D05C93">
          <w:rPr>
            <w:color w:val="1154CC"/>
            <w:u w:val="thick" w:color="1154CC"/>
          </w:rPr>
          <w:t>C</w:t>
        </w:r>
        <w:r>
          <w:rPr>
            <w:color w:val="1154CC"/>
            <w:u w:val="thick" w:color="1154CC"/>
          </w:rPr>
          <w:t>, Berkeley</w:t>
        </w:r>
      </w:hyperlink>
      <w:r>
        <w:t xml:space="preserve">. </w:t>
      </w:r>
      <w:r>
        <w:rPr>
          <w:b/>
          <w:i/>
        </w:rPr>
        <w:t>Education Workforce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Housing in California: Developing the 21</w:t>
      </w:r>
      <w:r w:rsidRPr="00D544B1">
        <w:rPr>
          <w:b/>
          <w:i/>
          <w:vertAlign w:val="superscript"/>
        </w:rPr>
        <w:t>st</w:t>
      </w:r>
      <w:r w:rsidR="00D05C93">
        <w:rPr>
          <w:b/>
          <w:i/>
        </w:rPr>
        <w:t>-</w:t>
      </w:r>
      <w:r>
        <w:rPr>
          <w:b/>
          <w:i/>
        </w:rPr>
        <w:t xml:space="preserve">Century Campus </w:t>
      </w:r>
      <w:r>
        <w:t>provides a comprehensive overview of the</w:t>
      </w:r>
      <w:r>
        <w:rPr>
          <w:spacing w:val="1"/>
        </w:rPr>
        <w:t xml:space="preserve"> </w:t>
      </w:r>
      <w:r>
        <w:t>potential for land owned by school districts to be designed and developed for teachers and other</w:t>
      </w:r>
      <w:r>
        <w:rPr>
          <w:spacing w:val="1"/>
        </w:rPr>
        <w:t xml:space="preserve"> </w:t>
      </w:r>
      <w:r>
        <w:t>employees.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effort,</w:t>
      </w:r>
      <w:r>
        <w:rPr>
          <w:spacing w:val="-9"/>
        </w:rPr>
        <w:t xml:space="preserve"> </w:t>
      </w:r>
      <w:r>
        <w:t>developed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hyperlink r:id="rId11">
        <w:r>
          <w:rPr>
            <w:color w:val="1154CC"/>
            <w:u w:val="thick" w:color="1154CC"/>
          </w:rPr>
          <w:t>California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School</w:t>
        </w:r>
        <w:r>
          <w:rPr>
            <w:color w:val="1154CC"/>
            <w:spacing w:val="-10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Boards</w:t>
        </w:r>
        <w:r>
          <w:rPr>
            <w:color w:val="1154CC"/>
            <w:spacing w:val="-9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Association</w:t>
        </w:r>
      </w:hyperlink>
      <w:r>
        <w:rPr>
          <w:color w:val="1154CC"/>
          <w:spacing w:val="1"/>
        </w:rPr>
        <w:t xml:space="preserve"> </w:t>
      </w:r>
      <w:hyperlink r:id="rId12">
        <w:r>
          <w:rPr>
            <w:color w:val="1154CC"/>
            <w:u w:val="thick" w:color="1154CC"/>
          </w:rPr>
          <w:t>(CSBA)</w:t>
        </w:r>
        <w:r>
          <w:rPr>
            <w:color w:val="1154CC"/>
          </w:rPr>
          <w:t xml:space="preserve"> </w:t>
        </w:r>
      </w:hyperlink>
      <w:r>
        <w:t xml:space="preserve">and funded by the </w:t>
      </w:r>
      <w:hyperlink r:id="rId13">
        <w:r>
          <w:rPr>
            <w:color w:val="1154CC"/>
            <w:u w:val="thick" w:color="1154CC"/>
          </w:rPr>
          <w:t>Chan Zuckerberg Initiative (CZI)</w:t>
        </w:r>
      </w:hyperlink>
      <w:r>
        <w:t>, inventories tens of thousands of potential</w:t>
      </w:r>
      <w:r>
        <w:rPr>
          <w:spacing w:val="1"/>
        </w:rPr>
        <w:t xml:space="preserve"> </w:t>
      </w:r>
      <w:r>
        <w:t>sites,</w:t>
      </w:r>
      <w:r>
        <w:rPr>
          <w:spacing w:val="-8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housing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strategies,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lays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roadmap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districts</w:t>
      </w:r>
      <w:r>
        <w:rPr>
          <w:spacing w:val="-7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exploring this transformative opportunity to enable more teachers and staff to live in the communities</w:t>
      </w:r>
      <w:r>
        <w:rPr>
          <w:spacing w:val="1"/>
        </w:rPr>
        <w:t xml:space="preserve"> </w:t>
      </w:r>
      <w:r>
        <w:t>that they serve. The report also makes important recommendations for state policy reforms to</w:t>
      </w:r>
      <w:r>
        <w:rPr>
          <w:spacing w:val="1"/>
        </w:rPr>
        <w:t xml:space="preserve"> </w:t>
      </w:r>
      <w:r>
        <w:t xml:space="preserve">encourage education workforce housing. The report is accompanied by an illustrated </w:t>
      </w:r>
      <w:hyperlink r:id="rId14">
        <w:r>
          <w:rPr>
            <w:b/>
            <w:i/>
            <w:color w:val="1154CC"/>
            <w:u w:val="thick" w:color="1154CC"/>
          </w:rPr>
          <w:t>Handbook</w:t>
        </w:r>
        <w:r>
          <w:rPr>
            <w:b/>
            <w:i/>
            <w:color w:val="1154CC"/>
          </w:rPr>
          <w:t xml:space="preserve"> </w:t>
        </w:r>
      </w:hyperlink>
      <w:r>
        <w:t>that</w:t>
      </w:r>
      <w:r>
        <w:rPr>
          <w:spacing w:val="1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how-to</w:t>
      </w:r>
      <w:r>
        <w:rPr>
          <w:spacing w:val="-9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boards,</w:t>
      </w:r>
      <w:r>
        <w:rPr>
          <w:spacing w:val="-8"/>
        </w:rPr>
        <w:t xml:space="preserve"> </w:t>
      </w:r>
      <w:r>
        <w:t>administrators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advocate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advance the development of education workforce housing on underutilized schools lands in</w:t>
      </w:r>
      <w:r>
        <w:rPr>
          <w:spacing w:val="1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California.</w:t>
      </w:r>
    </w:p>
    <w:p w14:paraId="5D65E35F" w14:textId="77777777" w:rsidR="00CF3D83" w:rsidRDefault="00CF3D83">
      <w:pPr>
        <w:pStyle w:val="BodyText"/>
        <w:spacing w:before="3"/>
        <w:ind w:left="0"/>
        <w:rPr>
          <w:sz w:val="25"/>
        </w:rPr>
      </w:pPr>
    </w:p>
    <w:p w14:paraId="4B2C3ED5" w14:textId="61AF8728" w:rsidR="009C7EE3" w:rsidRDefault="002011B2">
      <w:pPr>
        <w:pStyle w:val="BodyText"/>
        <w:spacing w:line="276" w:lineRule="auto"/>
        <w:ind w:right="118"/>
      </w:pPr>
      <w:r>
        <w:t>California’s deepening housing crisis threatens the quality of K-12 education, leading to worsening</w:t>
      </w:r>
      <w:r>
        <w:rPr>
          <w:spacing w:val="1"/>
        </w:rPr>
        <w:t xml:space="preserve"> </w:t>
      </w:r>
      <w:r>
        <w:t>outcomes for students, high rates of teacher turnover and acute staffing shortages. These costs are</w:t>
      </w:r>
      <w:r>
        <w:rPr>
          <w:spacing w:val="1"/>
        </w:rPr>
        <w:t xml:space="preserve"> </w:t>
      </w:r>
      <w:r>
        <w:t>disproportionately</w:t>
      </w:r>
      <w:r>
        <w:rPr>
          <w:spacing w:val="-10"/>
        </w:rPr>
        <w:t xml:space="preserve"> </w:t>
      </w:r>
      <w:r>
        <w:t>borne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low-income</w:t>
      </w:r>
      <w:r>
        <w:rPr>
          <w:spacing w:val="-9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struggling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t>high-quality</w:t>
      </w:r>
      <w:r>
        <w:rPr>
          <w:spacing w:val="-9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for all students. Public school employees</w:t>
      </w:r>
      <w:r w:rsidR="00D05C93">
        <w:t xml:space="preserve"> </w:t>
      </w:r>
      <w:r>
        <w:t>—</w:t>
      </w:r>
      <w:r w:rsidR="00D05C93">
        <w:t xml:space="preserve"> </w:t>
      </w:r>
      <w:r>
        <w:t>especially teachers</w:t>
      </w:r>
      <w:r w:rsidR="00D05C93">
        <w:t xml:space="preserve"> </w:t>
      </w:r>
      <w:r>
        <w:t>—</w:t>
      </w:r>
      <w:r w:rsidR="00D05C93">
        <w:t xml:space="preserve"> </w:t>
      </w:r>
      <w:r>
        <w:t>struggle to live in the communities</w:t>
      </w:r>
      <w:r>
        <w:rPr>
          <w:spacing w:val="1"/>
        </w:rPr>
        <w:t xml:space="preserve"> </w:t>
      </w:r>
      <w:r>
        <w:t>where they work and school districts face growing challenges in recruiting and retaining staff, creating</w:t>
      </w:r>
      <w:r>
        <w:rPr>
          <w:spacing w:val="1"/>
        </w:rPr>
        <w:t xml:space="preserve"> </w:t>
      </w:r>
      <w:r>
        <w:t>instability that exacerbates opportunity and achievement gaps.</w:t>
      </w:r>
    </w:p>
    <w:p w14:paraId="13415C30" w14:textId="77777777" w:rsidR="009C7EE3" w:rsidRDefault="009C7EE3">
      <w:pPr>
        <w:pStyle w:val="BodyText"/>
        <w:spacing w:line="276" w:lineRule="auto"/>
        <w:ind w:right="118"/>
      </w:pPr>
    </w:p>
    <w:p w14:paraId="56479EBC" w14:textId="7C85D28A" w:rsidR="00D05C93" w:rsidRDefault="002011B2">
      <w:pPr>
        <w:pStyle w:val="BodyText"/>
        <w:spacing w:line="276" w:lineRule="auto"/>
        <w:ind w:right="118"/>
      </w:pPr>
      <w:r>
        <w:t xml:space="preserve"> “Teacher quality has the greatest </w:t>
      </w:r>
      <w:proofErr w:type="gramStart"/>
      <w:r>
        <w:t>impact</w:t>
      </w:r>
      <w:r w:rsidR="00D05C93">
        <w:t xml:space="preserve"> </w:t>
      </w:r>
      <w:r>
        <w:rPr>
          <w:spacing w:val="-47"/>
        </w:rPr>
        <w:t xml:space="preserve"> </w:t>
      </w:r>
      <w:r>
        <w:t>on</w:t>
      </w:r>
      <w:proofErr w:type="gramEnd"/>
      <w:r>
        <w:t xml:space="preserve"> student achievement of any on-campus factor, and support staff are essential to the proper</w:t>
      </w:r>
      <w:r>
        <w:rPr>
          <w:spacing w:val="1"/>
        </w:rPr>
        <w:t xml:space="preserve"> </w:t>
      </w:r>
      <w:r>
        <w:t xml:space="preserve">functioning of schools,” said </w:t>
      </w:r>
      <w:r w:rsidR="00D05C93">
        <w:t>CSBA</w:t>
      </w:r>
      <w:r>
        <w:t xml:space="preserve"> President Dr. Susan Heredia. “So, it’s</w:t>
      </w:r>
      <w:r>
        <w:rPr>
          <w:spacing w:val="1"/>
        </w:rPr>
        <w:t xml:space="preserve"> </w:t>
      </w:r>
      <w:r>
        <w:t>essential that we pursue high-leverage measures to attract and retain an education workforce that can</w:t>
      </w:r>
      <w:r>
        <w:rPr>
          <w:spacing w:val="1"/>
        </w:rPr>
        <w:t xml:space="preserve"> </w:t>
      </w:r>
      <w:r>
        <w:t xml:space="preserve">prepare our students for the challenges of college, career and community in the 21st </w:t>
      </w:r>
      <w:r w:rsidR="00D05C93">
        <w:t>c</w:t>
      </w:r>
      <w:r>
        <w:t xml:space="preserve">entury.” </w:t>
      </w:r>
    </w:p>
    <w:p w14:paraId="17FCB569" w14:textId="77777777" w:rsidR="00D05C93" w:rsidRDefault="00D05C93">
      <w:pPr>
        <w:pStyle w:val="BodyText"/>
        <w:spacing w:line="276" w:lineRule="auto"/>
        <w:ind w:right="118"/>
      </w:pPr>
    </w:p>
    <w:p w14:paraId="5D65E360" w14:textId="5FE60FE5" w:rsidR="00CF3D83" w:rsidRDefault="002011B2">
      <w:pPr>
        <w:pStyle w:val="BodyText"/>
        <w:spacing w:line="276" w:lineRule="auto"/>
        <w:ind w:right="118"/>
      </w:pPr>
      <w:r>
        <w:t>As</w:t>
      </w:r>
      <w:r>
        <w:rPr>
          <w:spacing w:val="1"/>
        </w:rPr>
        <w:t xml:space="preserve"> </w:t>
      </w:r>
      <w:r>
        <w:t>housing affordability, staffing challenges, and academic excellence more tightly intertwine, a growing</w:t>
      </w:r>
      <w:r>
        <w:rPr>
          <w:spacing w:val="1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underutilized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lands.</w:t>
      </w:r>
    </w:p>
    <w:p w14:paraId="5D65E361" w14:textId="77777777" w:rsidR="00CF3D83" w:rsidRDefault="00CF3D83">
      <w:pPr>
        <w:spacing w:line="276" w:lineRule="auto"/>
        <w:sectPr w:rsidR="00CF3D83">
          <w:headerReference w:type="default" r:id="rId15"/>
          <w:type w:val="continuous"/>
          <w:pgSz w:w="12240" w:h="15840"/>
          <w:pgMar w:top="2140" w:right="1340" w:bottom="280" w:left="1340" w:header="750" w:footer="0" w:gutter="0"/>
          <w:pgNumType w:start="1"/>
          <w:cols w:space="720"/>
        </w:sectPr>
      </w:pPr>
    </w:p>
    <w:p w14:paraId="5D65E362" w14:textId="771ADB03" w:rsidR="00CF3D83" w:rsidRDefault="002011B2">
      <w:pPr>
        <w:pStyle w:val="BodyText"/>
        <w:spacing w:before="88" w:line="276" w:lineRule="auto"/>
        <w:ind w:right="118"/>
      </w:pPr>
      <w:r>
        <w:lastRenderedPageBreak/>
        <w:t>Four such residential developments have been built in California to date, all with tenant waiting lists,</w:t>
      </w:r>
      <w:r>
        <w:rPr>
          <w:spacing w:val="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nearly</w:t>
      </w:r>
      <w:r>
        <w:rPr>
          <w:spacing w:val="-8"/>
        </w:rPr>
        <w:t xml:space="preserve"> </w:t>
      </w:r>
      <w:r w:rsidR="00D05C93">
        <w:t>50</w:t>
      </w:r>
      <w:r w:rsidR="00D05C93">
        <w:rPr>
          <w:spacing w:val="-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pursuing</w:t>
      </w:r>
      <w:r>
        <w:rPr>
          <w:spacing w:val="-8"/>
        </w:rPr>
        <w:t xml:space="preserve"> </w:t>
      </w:r>
      <w:r>
        <w:t>projects,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eight</w:t>
      </w:r>
      <w:r>
        <w:rPr>
          <w:spacing w:val="-8"/>
        </w:rPr>
        <w:t xml:space="preserve"> </w:t>
      </w:r>
      <w:r>
        <w:t>districts</w:t>
      </w:r>
      <w:r>
        <w:rPr>
          <w:spacing w:val="-8"/>
        </w:rPr>
        <w:t xml:space="preserve"> </w:t>
      </w:r>
      <w:r>
        <w:t>putting</w:t>
      </w:r>
      <w:r>
        <w:rPr>
          <w:spacing w:val="-9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before local voters since 2018. “This study shows that schools and housing are an excellent match, and</w:t>
      </w:r>
      <w:r>
        <w:rPr>
          <w:spacing w:val="1"/>
        </w:rPr>
        <w:t xml:space="preserve"> </w:t>
      </w:r>
      <w:r>
        <w:t>by partnering with communities, great design solutions for different districts can lift up schools,</w:t>
      </w:r>
      <w:r>
        <w:rPr>
          <w:spacing w:val="1"/>
        </w:rPr>
        <w:t xml:space="preserve"> </w:t>
      </w:r>
      <w:r>
        <w:t>neighborhoods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workforce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there,”</w:t>
      </w:r>
      <w:r>
        <w:rPr>
          <w:spacing w:val="-6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Dana</w:t>
      </w:r>
      <w:r>
        <w:rPr>
          <w:spacing w:val="-7"/>
        </w:rPr>
        <w:t xml:space="preserve"> </w:t>
      </w:r>
      <w:r>
        <w:t>Cuff,</w:t>
      </w:r>
      <w:r>
        <w:rPr>
          <w:spacing w:val="-6"/>
        </w:rPr>
        <w:t xml:space="preserve"> </w:t>
      </w:r>
      <w:r w:rsidR="00D05C93">
        <w:t>d</w:t>
      </w:r>
      <w:r>
        <w:t>irector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cityLAB</w:t>
      </w:r>
      <w:proofErr w:type="spellEnd"/>
      <w:r>
        <w:t>.</w:t>
      </w:r>
    </w:p>
    <w:p w14:paraId="5D65E363" w14:textId="77777777" w:rsidR="00CF3D83" w:rsidRDefault="00CF3D83">
      <w:pPr>
        <w:pStyle w:val="BodyText"/>
        <w:spacing w:before="4"/>
        <w:ind w:left="0"/>
        <w:rPr>
          <w:sz w:val="25"/>
        </w:rPr>
      </w:pPr>
    </w:p>
    <w:p w14:paraId="5D65E364" w14:textId="2B954033" w:rsidR="00CF3D83" w:rsidRDefault="002011B2">
      <w:pPr>
        <w:pStyle w:val="BodyText"/>
        <w:spacing w:line="276" w:lineRule="auto"/>
        <w:ind w:right="118"/>
      </w:pPr>
      <w:r>
        <w:t>This report makes the important case for education workforce housing as a tool that can positively</w:t>
      </w:r>
      <w:r>
        <w:rPr>
          <w:spacing w:val="1"/>
        </w:rPr>
        <w:t xml:space="preserve"> </w:t>
      </w:r>
      <w:r>
        <w:t>impact education equity and housing affordability. “The state’s growing teacher shortages have a</w:t>
      </w:r>
      <w:r>
        <w:rPr>
          <w:spacing w:val="1"/>
        </w:rPr>
        <w:t xml:space="preserve"> </w:t>
      </w:r>
      <w:r>
        <w:t>disproportionate impact on already disadvantaged students. Addressing the housing affordability</w:t>
      </w:r>
      <w:r>
        <w:rPr>
          <w:spacing w:val="1"/>
        </w:rPr>
        <w:t xml:space="preserve"> </w:t>
      </w:r>
      <w:r>
        <w:t>challenges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step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attracting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retaining</w:t>
      </w:r>
      <w:r>
        <w:rPr>
          <w:spacing w:val="-8"/>
        </w:rPr>
        <w:t xml:space="preserve"> </w:t>
      </w:r>
      <w:r>
        <w:t>teachers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improving outcomes for California’s students,” said Elizabeth Kneebone, the </w:t>
      </w:r>
      <w:proofErr w:type="spellStart"/>
      <w:r>
        <w:t>Terner</w:t>
      </w:r>
      <w:proofErr w:type="spellEnd"/>
      <w:r>
        <w:t xml:space="preserve"> Center’s </w:t>
      </w:r>
      <w:r w:rsidR="00517B6D">
        <w:t>r</w:t>
      </w:r>
      <w:r>
        <w:t>esearch</w:t>
      </w:r>
      <w:r>
        <w:rPr>
          <w:spacing w:val="1"/>
        </w:rPr>
        <w:t xml:space="preserve"> </w:t>
      </w:r>
      <w:r w:rsidR="00517B6D">
        <w:t>d</w:t>
      </w:r>
      <w:r>
        <w:t>irector.</w:t>
      </w:r>
    </w:p>
    <w:p w14:paraId="5D65E365" w14:textId="77777777" w:rsidR="00CF3D83" w:rsidRDefault="00CF3D83">
      <w:pPr>
        <w:pStyle w:val="BodyText"/>
        <w:spacing w:before="3"/>
        <w:ind w:left="0"/>
        <w:rPr>
          <w:sz w:val="25"/>
        </w:rPr>
      </w:pPr>
    </w:p>
    <w:p w14:paraId="5D65E366" w14:textId="1458552C" w:rsidR="00CF3D83" w:rsidRDefault="002011B2">
      <w:pPr>
        <w:pStyle w:val="BodyText"/>
        <w:spacing w:before="1" w:line="276" w:lineRule="auto"/>
        <w:ind w:right="267"/>
      </w:pPr>
      <w:r>
        <w:t>Statewide,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nearly</w:t>
      </w:r>
      <w:r>
        <w:rPr>
          <w:spacing w:val="-7"/>
        </w:rPr>
        <w:t xml:space="preserve"> </w:t>
      </w:r>
      <w:r>
        <w:t>151,500</w:t>
      </w:r>
      <w:r>
        <w:rPr>
          <w:spacing w:val="-7"/>
        </w:rPr>
        <w:t xml:space="preserve"> </w:t>
      </w:r>
      <w:r>
        <w:t>acres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 w:rsidR="00517B6D">
        <w:t>local educational agencies</w:t>
      </w:r>
      <w:r>
        <w:t>.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land, there are 7,068 properties with potentially developable land of one acre or more, totaling </w:t>
      </w:r>
      <w:r w:rsidR="00517B6D">
        <w:t>75,000 acres</w:t>
      </w:r>
      <w:r>
        <w:t xml:space="preserve"> statewide. More than half (61</w:t>
      </w:r>
      <w:r w:rsidR="00517B6D">
        <w:t xml:space="preserve"> percent</w:t>
      </w:r>
      <w:r>
        <w:t>) of these properties are located where entry-level teachers face</w:t>
      </w:r>
      <w:r>
        <w:rPr>
          <w:spacing w:val="1"/>
        </w:rPr>
        <w:t xml:space="preserve"> </w:t>
      </w:r>
      <w:r>
        <w:t>housing affordability challenges. “School districts have a unique advantage in developing housing</w:t>
      </w:r>
      <w:r>
        <w:rPr>
          <w:spacing w:val="1"/>
        </w:rPr>
        <w:t xml:space="preserve"> </w:t>
      </w:r>
      <w:r>
        <w:t>because they already own land in the communities they serve. The key is to look at where there might</w:t>
      </w:r>
      <w:r>
        <w:rPr>
          <w:spacing w:val="1"/>
        </w:rPr>
        <w:t xml:space="preserve"> </w:t>
      </w:r>
      <w:r>
        <w:t>be opportunities to develop underutilized land or otherwise reconfigure uses on their properties. It’s</w:t>
      </w:r>
      <w:r>
        <w:rPr>
          <w:spacing w:val="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getting</w:t>
      </w:r>
      <w:r>
        <w:rPr>
          <w:spacing w:val="-9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getting</w:t>
      </w:r>
      <w:r>
        <w:rPr>
          <w:spacing w:val="-9"/>
        </w:rPr>
        <w:t xml:space="preserve"> </w:t>
      </w:r>
      <w:r>
        <w:t>creative,”</w:t>
      </w:r>
      <w:r>
        <w:rPr>
          <w:spacing w:val="-10"/>
        </w:rPr>
        <w:t xml:space="preserve"> </w:t>
      </w:r>
      <w:r>
        <w:t>said</w:t>
      </w:r>
      <w:r>
        <w:rPr>
          <w:spacing w:val="-9"/>
        </w:rPr>
        <w:t xml:space="preserve"> </w:t>
      </w:r>
      <w:r>
        <w:t>Jeff</w:t>
      </w:r>
      <w:r>
        <w:rPr>
          <w:spacing w:val="-9"/>
        </w:rPr>
        <w:t xml:space="preserve"> </w:t>
      </w:r>
      <w:r>
        <w:t>Vincent,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Cities</w:t>
      </w:r>
      <w:r>
        <w:rPr>
          <w:spacing w:val="-10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Schools’</w:t>
      </w:r>
      <w:r>
        <w:rPr>
          <w:spacing w:val="-10"/>
        </w:rPr>
        <w:t xml:space="preserve"> </w:t>
      </w:r>
      <w:r>
        <w:t>co-founder.</w:t>
      </w:r>
    </w:p>
    <w:p w14:paraId="5D65E367" w14:textId="77777777" w:rsidR="00CF3D83" w:rsidRDefault="00CF3D83">
      <w:pPr>
        <w:pStyle w:val="BodyText"/>
        <w:spacing w:before="3"/>
        <w:ind w:left="0"/>
        <w:rPr>
          <w:sz w:val="25"/>
        </w:rPr>
      </w:pPr>
    </w:p>
    <w:p w14:paraId="5D65E368" w14:textId="6A896F16" w:rsidR="00CF3D83" w:rsidRDefault="002011B2">
      <w:pPr>
        <w:pStyle w:val="BodyText"/>
        <w:spacing w:line="276" w:lineRule="auto"/>
        <w:ind w:right="118"/>
      </w:pPr>
      <w:r>
        <w:t xml:space="preserve">Policy change at the state level, particularly the </w:t>
      </w:r>
      <w:r w:rsidRPr="00D544B1">
        <w:rPr>
          <w:iCs/>
        </w:rPr>
        <w:t>Teacher Housing Act of 2016</w:t>
      </w:r>
      <w:r w:rsidRPr="00517B6D">
        <w:rPr>
          <w:iCs/>
        </w:rPr>
        <w:t>,</w:t>
      </w:r>
      <w:r>
        <w:t xml:space="preserve"> better enables school</w:t>
      </w:r>
      <w:r>
        <w:rPr>
          <w:spacing w:val="1"/>
        </w:rPr>
        <w:t xml:space="preserve"> </w:t>
      </w:r>
      <w:r>
        <w:t>districts to pursue affordable housing for employees and to leverage a range of programs and fiscal</w:t>
      </w:r>
      <w:r>
        <w:rPr>
          <w:spacing w:val="1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housing</w:t>
      </w:r>
      <w:r>
        <w:rPr>
          <w:spacing w:val="-10"/>
        </w:rPr>
        <w:t xml:space="preserve"> </w:t>
      </w:r>
      <w:r>
        <w:t>developers.</w:t>
      </w:r>
      <w:r>
        <w:rPr>
          <w:spacing w:val="-9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policymakers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steps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streamline and simplify the process for building housing on school lands. “The passage of the </w:t>
      </w:r>
      <w:r w:rsidRPr="00D544B1">
        <w:rPr>
          <w:iCs/>
        </w:rPr>
        <w:t>Teacher</w:t>
      </w:r>
      <w:r w:rsidRPr="00D544B1">
        <w:rPr>
          <w:iCs/>
          <w:spacing w:val="1"/>
        </w:rPr>
        <w:t xml:space="preserve"> </w:t>
      </w:r>
      <w:r w:rsidRPr="00D544B1">
        <w:rPr>
          <w:iCs/>
        </w:rPr>
        <w:t>Housing Act in 2016</w:t>
      </w:r>
      <w:r>
        <w:rPr>
          <w:i/>
        </w:rPr>
        <w:t xml:space="preserve"> </w:t>
      </w:r>
      <w:r>
        <w:t>allows California school districts to access existing affordable housing financing</w:t>
      </w:r>
      <w:r>
        <w:rPr>
          <w:spacing w:val="1"/>
        </w:rPr>
        <w:t xml:space="preserve"> </w:t>
      </w:r>
      <w:r>
        <w:t xml:space="preserve">tools, which are essential to making sure projects pencil out,” said David Garcia, the </w:t>
      </w:r>
      <w:proofErr w:type="spellStart"/>
      <w:r>
        <w:t>Terner</w:t>
      </w:r>
      <w:proofErr w:type="spellEnd"/>
      <w:r>
        <w:t xml:space="preserve"> Center’s</w:t>
      </w:r>
      <w:r>
        <w:rPr>
          <w:spacing w:val="1"/>
        </w:rPr>
        <w:t xml:space="preserve"> </w:t>
      </w:r>
      <w:r w:rsidR="00517B6D">
        <w:t>p</w:t>
      </w:r>
      <w:r>
        <w:t>olicy</w:t>
      </w:r>
      <w:r>
        <w:rPr>
          <w:spacing w:val="-4"/>
        </w:rPr>
        <w:t xml:space="preserve"> </w:t>
      </w:r>
      <w:r w:rsidR="00517B6D">
        <w:t>d</w:t>
      </w:r>
      <w:r>
        <w:t>irector.</w:t>
      </w:r>
      <w:r>
        <w:rPr>
          <w:spacing w:val="-4"/>
        </w:rPr>
        <w:t xml:space="preserve"> </w:t>
      </w:r>
      <w:r>
        <w:t>“State</w:t>
      </w:r>
      <w:r>
        <w:rPr>
          <w:spacing w:val="-4"/>
        </w:rPr>
        <w:t xml:space="preserve"> </w:t>
      </w:r>
      <w:r>
        <w:t>policymakers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build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and</w:t>
      </w:r>
    </w:p>
    <w:p w14:paraId="5D65E369" w14:textId="77777777" w:rsidR="00CF3D83" w:rsidRDefault="002011B2">
      <w:pPr>
        <w:pStyle w:val="BodyText"/>
      </w:pPr>
      <w:r>
        <w:rPr>
          <w:spacing w:val="-1"/>
        </w:rPr>
        <w:t>capacity-building</w:t>
      </w:r>
      <w:r>
        <w:rPr>
          <w:spacing w:val="-11"/>
        </w:rPr>
        <w:t xml:space="preserve"> </w:t>
      </w:r>
      <w:r>
        <w:rPr>
          <w:spacing w:val="-1"/>
        </w:rPr>
        <w:t>tools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encourage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housing.”</w:t>
      </w:r>
    </w:p>
    <w:p w14:paraId="5D65E36A" w14:textId="77777777" w:rsidR="00CF3D83" w:rsidRDefault="00CF3D83">
      <w:pPr>
        <w:pStyle w:val="BodyText"/>
        <w:spacing w:before="7"/>
        <w:ind w:left="0"/>
        <w:rPr>
          <w:sz w:val="28"/>
        </w:rPr>
      </w:pPr>
    </w:p>
    <w:p w14:paraId="5D65E36B" w14:textId="4814DEFE" w:rsidR="00CF3D83" w:rsidRDefault="002011B2">
      <w:pPr>
        <w:pStyle w:val="BodyText"/>
        <w:spacing w:before="1" w:line="276" w:lineRule="auto"/>
      </w:pPr>
      <w:r>
        <w:t>"Improving</w:t>
      </w:r>
      <w:r>
        <w:rPr>
          <w:spacing w:val="-9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safe,</w:t>
      </w:r>
      <w:r>
        <w:rPr>
          <w:spacing w:val="-8"/>
        </w:rPr>
        <w:t xml:space="preserve"> </w:t>
      </w:r>
      <w:r>
        <w:t>affordable</w:t>
      </w:r>
      <w:r>
        <w:rPr>
          <w:spacing w:val="-9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vibrant,</w:t>
      </w:r>
      <w:r>
        <w:rPr>
          <w:spacing w:val="-9"/>
        </w:rPr>
        <w:t xml:space="preserve"> </w:t>
      </w:r>
      <w:r>
        <w:t>inclusive</w:t>
      </w:r>
      <w:r>
        <w:rPr>
          <w:spacing w:val="-9"/>
        </w:rPr>
        <w:t xml:space="preserve"> </w:t>
      </w:r>
      <w:r>
        <w:t>communities</w:t>
      </w:r>
      <w:r>
        <w:rPr>
          <w:spacing w:val="-9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 xml:space="preserve">California," said Ruby </w:t>
      </w:r>
      <w:proofErr w:type="spellStart"/>
      <w:r>
        <w:t>Bolaria</w:t>
      </w:r>
      <w:proofErr w:type="spellEnd"/>
      <w:r>
        <w:t xml:space="preserve"> </w:t>
      </w:r>
      <w:proofErr w:type="spellStart"/>
      <w:r>
        <w:t>Shifrin</w:t>
      </w:r>
      <w:proofErr w:type="spellEnd"/>
      <w:r>
        <w:t xml:space="preserve">, </w:t>
      </w:r>
      <w:r w:rsidR="00517B6D">
        <w:t>d</w:t>
      </w:r>
      <w:r>
        <w:t>irector of Housing Affordability at CZI. "CZI is honored to have</w:t>
      </w:r>
      <w:r>
        <w:rPr>
          <w:spacing w:val="1"/>
        </w:rPr>
        <w:t xml:space="preserve"> </w:t>
      </w:r>
      <w:r>
        <w:t>supported this research effort, which offers the tools, resources and guidance LEAs need to accelerate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underutilized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lands.”</w:t>
      </w:r>
    </w:p>
    <w:p w14:paraId="3256EBE3" w14:textId="77777777" w:rsidR="00B462AE" w:rsidRDefault="00B462AE">
      <w:pPr>
        <w:pStyle w:val="BodyText"/>
        <w:spacing w:before="1" w:line="276" w:lineRule="auto"/>
      </w:pPr>
    </w:p>
    <w:p w14:paraId="5D65E36C" w14:textId="77777777" w:rsidR="00CF3D83" w:rsidRDefault="002011B2">
      <w:pPr>
        <w:spacing w:line="276" w:lineRule="auto"/>
        <w:ind w:left="100" w:right="267"/>
      </w:pPr>
      <w:r>
        <w:t>The</w:t>
      </w:r>
      <w:r>
        <w:rPr>
          <w:spacing w:val="-8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rPr>
          <w:b/>
          <w:i/>
        </w:rPr>
        <w:t>Education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Workforce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Housing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California: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Developing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21st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Century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Campus</w:t>
      </w:r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companion</w:t>
      </w:r>
      <w:r>
        <w:rPr>
          <w:spacing w:val="-5"/>
        </w:rPr>
        <w:t xml:space="preserve"> </w:t>
      </w:r>
      <w:r>
        <w:rPr>
          <w:b/>
          <w:i/>
        </w:rPr>
        <w:t>Handbook</w:t>
      </w:r>
      <w:r>
        <w:rPr>
          <w:b/>
          <w:i/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hyperlink r:id="rId16">
        <w:r>
          <w:rPr>
            <w:color w:val="1154CC"/>
            <w:spacing w:val="-2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CSBA’s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Government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and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Policy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Resources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online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hub</w:t>
        </w:r>
      </w:hyperlink>
      <w:r>
        <w:t>.</w:t>
      </w:r>
    </w:p>
    <w:p w14:paraId="5D65E36D" w14:textId="77777777" w:rsidR="00CF3D83" w:rsidRDefault="00CF3D83">
      <w:pPr>
        <w:spacing w:line="276" w:lineRule="auto"/>
        <w:sectPr w:rsidR="00CF3D83">
          <w:pgSz w:w="12240" w:h="15840"/>
          <w:pgMar w:top="2140" w:right="1340" w:bottom="280" w:left="1340" w:header="750" w:footer="0" w:gutter="0"/>
          <w:cols w:space="720"/>
        </w:sectPr>
      </w:pPr>
    </w:p>
    <w:p w14:paraId="5D65E36E" w14:textId="77777777" w:rsidR="00CF3D83" w:rsidRDefault="002011B2">
      <w:pPr>
        <w:spacing w:before="88"/>
        <w:ind w:left="1010" w:right="1010"/>
        <w:jc w:val="center"/>
      </w:pPr>
      <w:r>
        <w:lastRenderedPageBreak/>
        <w:t>###</w:t>
      </w:r>
    </w:p>
    <w:p w14:paraId="5D65E36F" w14:textId="77777777" w:rsidR="00CF3D83" w:rsidRDefault="00CF3D83">
      <w:pPr>
        <w:pStyle w:val="BodyText"/>
        <w:spacing w:before="7"/>
        <w:ind w:left="0"/>
        <w:rPr>
          <w:sz w:val="28"/>
        </w:rPr>
      </w:pPr>
    </w:p>
    <w:p w14:paraId="5D65E370" w14:textId="2E12F485" w:rsidR="00CF3D83" w:rsidRDefault="002011B2">
      <w:pPr>
        <w:pStyle w:val="BodyText"/>
        <w:spacing w:before="1" w:line="276" w:lineRule="auto"/>
      </w:pPr>
      <w:r>
        <w:rPr>
          <w:b/>
        </w:rPr>
        <w:t>About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cityLAB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at</w:t>
      </w:r>
      <w:r>
        <w:rPr>
          <w:b/>
          <w:spacing w:val="-6"/>
        </w:rPr>
        <w:t xml:space="preserve"> </w:t>
      </w:r>
      <w:r>
        <w:rPr>
          <w:b/>
        </w:rPr>
        <w:t>UCLA:</w:t>
      </w:r>
      <w:r>
        <w:rPr>
          <w:b/>
          <w:spacing w:val="-7"/>
        </w:rPr>
        <w:t xml:space="preserve"> </w:t>
      </w:r>
      <w:proofErr w:type="spellStart"/>
      <w:r>
        <w:t>cityLAB</w:t>
      </w:r>
      <w:proofErr w:type="spellEnd"/>
      <w:r>
        <w:t>,</w:t>
      </w:r>
      <w:r>
        <w:rPr>
          <w:spacing w:val="-6"/>
        </w:rPr>
        <w:t xml:space="preserve"> </w:t>
      </w:r>
      <w:r>
        <w:t>founded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2006,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multidisciplinary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UCLA's</w:t>
      </w:r>
      <w:r>
        <w:rPr>
          <w:spacing w:val="-7"/>
        </w:rPr>
        <w:t xml:space="preserve"> </w:t>
      </w:r>
      <w:r>
        <w:t>Architecture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Urban Design Department focused on leveraging design for spatial justice and to address contemporary</w:t>
      </w:r>
      <w:r>
        <w:rPr>
          <w:spacing w:val="1"/>
        </w:rPr>
        <w:t xml:space="preserve"> </w:t>
      </w:r>
      <w:r>
        <w:t xml:space="preserve">urban concerns. Specifically, </w:t>
      </w:r>
      <w:proofErr w:type="spellStart"/>
      <w:r>
        <w:t>cityLAB</w:t>
      </w:r>
      <w:proofErr w:type="spellEnd"/>
      <w:r>
        <w:t xml:space="preserve"> explores the challenges facing the 21</w:t>
      </w:r>
      <w:r w:rsidRPr="00D544B1">
        <w:rPr>
          <w:vertAlign w:val="superscript"/>
        </w:rPr>
        <w:t>st</w:t>
      </w:r>
      <w:r w:rsidR="00517B6D">
        <w:t>-</w:t>
      </w:r>
      <w:r>
        <w:t>century metropolis,</w:t>
      </w:r>
      <w:r>
        <w:rPr>
          <w:spacing w:val="1"/>
        </w:rPr>
        <w:t xml:space="preserve"> </w:t>
      </w:r>
      <w:r>
        <w:t>expanding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possibilities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cities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grow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equitably,</w:t>
      </w:r>
      <w:r>
        <w:rPr>
          <w:spacing w:val="-11"/>
        </w:rPr>
        <w:t xml:space="preserve"> </w:t>
      </w:r>
      <w:proofErr w:type="spellStart"/>
      <w:r>
        <w:t>livably</w:t>
      </w:r>
      <w:proofErr w:type="spellEnd"/>
      <w:r>
        <w:t>,</w:t>
      </w:r>
      <w:r>
        <w:rPr>
          <w:spacing w:val="-11"/>
        </w:rPr>
        <w:t xml:space="preserve"> </w:t>
      </w:r>
      <w:r>
        <w:t>sustainably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beautifully,</w:t>
      </w:r>
      <w:r>
        <w:rPr>
          <w:spacing w:val="-1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affordable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efforts.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visit:</w:t>
      </w:r>
      <w:r>
        <w:rPr>
          <w:spacing w:val="-6"/>
        </w:rPr>
        <w:t xml:space="preserve"> </w:t>
      </w:r>
      <w:hyperlink r:id="rId17">
        <w:r>
          <w:rPr>
            <w:color w:val="1154CC"/>
            <w:u w:val="thick" w:color="1154CC"/>
          </w:rPr>
          <w:t>https://cityLAB.UCLA.edu/</w:t>
        </w:r>
      </w:hyperlink>
    </w:p>
    <w:p w14:paraId="5D65E371" w14:textId="77777777" w:rsidR="00CF3D83" w:rsidRDefault="00CF3D83">
      <w:pPr>
        <w:pStyle w:val="BodyText"/>
        <w:spacing w:before="3"/>
        <w:ind w:left="0"/>
        <w:rPr>
          <w:sz w:val="25"/>
        </w:rPr>
      </w:pPr>
    </w:p>
    <w:p w14:paraId="5D65E372" w14:textId="77777777" w:rsidR="00CF3D83" w:rsidRDefault="002011B2">
      <w:pPr>
        <w:pStyle w:val="BodyText"/>
        <w:spacing w:line="276" w:lineRule="auto"/>
      </w:pPr>
      <w:r>
        <w:rPr>
          <w:b/>
        </w:rPr>
        <w:t xml:space="preserve">About the Center for Cities + Schools at UC Berkeley: </w:t>
      </w:r>
      <w:r>
        <w:t>CC+S works to identify and advance policies and</w:t>
      </w:r>
      <w:r>
        <w:rPr>
          <w:spacing w:val="1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opportunity-rich</w:t>
      </w:r>
      <w:r>
        <w:rPr>
          <w:spacing w:val="-7"/>
        </w:rPr>
        <w:t xml:space="preserve"> </w:t>
      </w:r>
      <w:r>
        <w:t>places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>We conduct high-quality, non-partisan policy research, engage youth in urban planning, and cultivate</w:t>
      </w:r>
      <w:r>
        <w:rPr>
          <w:spacing w:val="1"/>
        </w:rPr>
        <w:t xml:space="preserve"> </w:t>
      </w:r>
      <w:r>
        <w:t>collaboration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strengthen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communities.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visit:</w:t>
      </w:r>
      <w:r>
        <w:rPr>
          <w:spacing w:val="1"/>
        </w:rPr>
        <w:t xml:space="preserve"> </w:t>
      </w:r>
      <w:hyperlink r:id="rId18">
        <w:r>
          <w:rPr>
            <w:color w:val="1154CC"/>
            <w:u w:val="thick" w:color="1154CC"/>
          </w:rPr>
          <w:t>https://citiesandschools.berkeley.edu</w:t>
        </w:r>
      </w:hyperlink>
    </w:p>
    <w:p w14:paraId="5D65E373" w14:textId="77777777" w:rsidR="00CF3D83" w:rsidRDefault="00CF3D83">
      <w:pPr>
        <w:pStyle w:val="BodyText"/>
        <w:spacing w:before="4"/>
        <w:ind w:left="0"/>
        <w:rPr>
          <w:sz w:val="25"/>
        </w:rPr>
      </w:pPr>
    </w:p>
    <w:p w14:paraId="5D65E374" w14:textId="283B4FD6" w:rsidR="00CF3D83" w:rsidRDefault="002011B2">
      <w:pPr>
        <w:pStyle w:val="BodyText"/>
        <w:spacing w:line="276" w:lineRule="auto"/>
        <w:ind w:right="118"/>
      </w:pPr>
      <w:r>
        <w:rPr>
          <w:b/>
        </w:rPr>
        <w:t xml:space="preserve">About the </w:t>
      </w:r>
      <w:proofErr w:type="spellStart"/>
      <w:r>
        <w:rPr>
          <w:b/>
        </w:rPr>
        <w:t>Terner</w:t>
      </w:r>
      <w:proofErr w:type="spellEnd"/>
      <w:r>
        <w:rPr>
          <w:b/>
        </w:rPr>
        <w:t xml:space="preserve"> Center for Housing Innovation at UC Berkeley: </w:t>
      </w:r>
      <w:r>
        <w:t xml:space="preserve">The </w:t>
      </w:r>
      <w:proofErr w:type="spellStart"/>
      <w:r>
        <w:t>Terner</w:t>
      </w:r>
      <w:proofErr w:type="spellEnd"/>
      <w:r>
        <w:t xml:space="preserve"> Center formulates bold</w:t>
      </w:r>
      <w:r>
        <w:rPr>
          <w:spacing w:val="1"/>
        </w:rPr>
        <w:t xml:space="preserve"> </w:t>
      </w:r>
      <w:r>
        <w:t xml:space="preserve">strategies to house families from all walks of life in vibrant, </w:t>
      </w:r>
      <w:proofErr w:type="gramStart"/>
      <w:r>
        <w:t>sustainable</w:t>
      </w:r>
      <w:proofErr w:type="gramEnd"/>
      <w:r>
        <w:t xml:space="preserve"> and affordable homes and</w:t>
      </w:r>
      <w:r>
        <w:rPr>
          <w:spacing w:val="1"/>
        </w:rPr>
        <w:t xml:space="preserve"> </w:t>
      </w:r>
      <w:r>
        <w:t>communities.</w:t>
      </w:r>
      <w:r>
        <w:rPr>
          <w:spacing w:val="-10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generating</w:t>
      </w:r>
      <w:r>
        <w:rPr>
          <w:spacing w:val="-10"/>
        </w:rPr>
        <w:t xml:space="preserve"> </w:t>
      </w:r>
      <w:r>
        <w:t>constructive,</w:t>
      </w:r>
      <w:r>
        <w:rPr>
          <w:spacing w:val="-9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makers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tools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achieve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communities.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visit:</w:t>
      </w:r>
      <w:r>
        <w:rPr>
          <w:spacing w:val="-3"/>
        </w:rPr>
        <w:t xml:space="preserve"> </w:t>
      </w:r>
      <w:hyperlink r:id="rId19">
        <w:r>
          <w:rPr>
            <w:color w:val="1154CC"/>
            <w:u w:val="thick" w:color="1154CC"/>
          </w:rPr>
          <w:t>www.ternercenter.berkeley.edu</w:t>
        </w:r>
      </w:hyperlink>
    </w:p>
    <w:p w14:paraId="5D65E375" w14:textId="77777777" w:rsidR="00CF3D83" w:rsidRDefault="00CF3D83">
      <w:pPr>
        <w:pStyle w:val="BodyText"/>
        <w:spacing w:before="3"/>
        <w:ind w:left="0"/>
        <w:rPr>
          <w:sz w:val="25"/>
        </w:rPr>
      </w:pPr>
    </w:p>
    <w:p w14:paraId="5D65E376" w14:textId="360661F8" w:rsidR="00CF3D83" w:rsidRDefault="002011B2">
      <w:pPr>
        <w:pStyle w:val="BodyText"/>
        <w:spacing w:before="1" w:line="276" w:lineRule="auto"/>
        <w:ind w:right="169"/>
      </w:pPr>
      <w:r>
        <w:rPr>
          <w:b/>
        </w:rPr>
        <w:t>About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California</w:t>
      </w:r>
      <w:r>
        <w:rPr>
          <w:b/>
          <w:spacing w:val="-8"/>
        </w:rPr>
        <w:t xml:space="preserve"> </w:t>
      </w:r>
      <w:r>
        <w:rPr>
          <w:b/>
        </w:rPr>
        <w:t>School</w:t>
      </w:r>
      <w:r>
        <w:rPr>
          <w:b/>
          <w:spacing w:val="-7"/>
        </w:rPr>
        <w:t xml:space="preserve"> </w:t>
      </w:r>
      <w:r>
        <w:rPr>
          <w:b/>
        </w:rPr>
        <w:t>Boards</w:t>
      </w:r>
      <w:r>
        <w:rPr>
          <w:b/>
          <w:spacing w:val="-8"/>
        </w:rPr>
        <w:t xml:space="preserve"> </w:t>
      </w:r>
      <w:r>
        <w:rPr>
          <w:b/>
        </w:rPr>
        <w:t>Association:</w:t>
      </w:r>
      <w:r>
        <w:rPr>
          <w:b/>
          <w:spacing w:val="-7"/>
        </w:rPr>
        <w:t xml:space="preserve"> </w:t>
      </w:r>
      <w:r w:rsidR="00517B6D">
        <w:t xml:space="preserve">CSBA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nonprofit</w:t>
      </w:r>
      <w:r>
        <w:rPr>
          <w:spacing w:val="1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nearly</w:t>
      </w:r>
      <w:r>
        <w:rPr>
          <w:spacing w:val="-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PreK-12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 California. CSBA unites school governing boards and administrators from more than 1,000 local</w:t>
      </w:r>
      <w:r>
        <w:rPr>
          <w:spacing w:val="1"/>
        </w:rPr>
        <w:t xml:space="preserve"> </w:t>
      </w:r>
      <w:r>
        <w:t>education</w:t>
      </w:r>
      <w:r w:rsidR="00517B6D">
        <w:t>al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strengthen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state’s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million</w:t>
      </w:r>
    </w:p>
    <w:p w14:paraId="5D65E377" w14:textId="77777777" w:rsidR="00CF3D83" w:rsidRDefault="002011B2">
      <w:pPr>
        <w:pStyle w:val="BodyText"/>
        <w:spacing w:line="276" w:lineRule="auto"/>
      </w:pPr>
      <w:r>
        <w:t>school-age</w:t>
      </w:r>
      <w:r>
        <w:rPr>
          <w:spacing w:val="-10"/>
        </w:rPr>
        <w:t xml:space="preserve"> </w:t>
      </w:r>
      <w:r>
        <w:t>children.</w:t>
      </w:r>
      <w:r>
        <w:rPr>
          <w:spacing w:val="-10"/>
        </w:rPr>
        <w:t xml:space="preserve"> </w:t>
      </w:r>
      <w:r>
        <w:t>CSBA</w:t>
      </w:r>
      <w:r>
        <w:rPr>
          <w:spacing w:val="-10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resources,</w:t>
      </w:r>
      <w:r>
        <w:rPr>
          <w:spacing w:val="-10"/>
        </w:rPr>
        <w:t xml:space="preserve"> </w:t>
      </w:r>
      <w:r>
        <w:t>training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services, while also representing the interests of public schools through political, legislative, legal,</w:t>
      </w:r>
      <w:r>
        <w:rPr>
          <w:spacing w:val="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advocacy.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visit:</w:t>
      </w:r>
      <w:r>
        <w:rPr>
          <w:spacing w:val="-3"/>
        </w:rPr>
        <w:t xml:space="preserve"> </w:t>
      </w:r>
      <w:hyperlink r:id="rId20">
        <w:r>
          <w:rPr>
            <w:color w:val="1154CC"/>
            <w:u w:val="thick" w:color="1154CC"/>
          </w:rPr>
          <w:t>https://www.csba.org/</w:t>
        </w:r>
      </w:hyperlink>
    </w:p>
    <w:p w14:paraId="5D65E378" w14:textId="77777777" w:rsidR="00CF3D83" w:rsidRDefault="00CF3D83">
      <w:pPr>
        <w:pStyle w:val="BodyText"/>
        <w:spacing w:before="3"/>
        <w:ind w:left="0"/>
        <w:rPr>
          <w:sz w:val="25"/>
        </w:rPr>
      </w:pPr>
    </w:p>
    <w:p w14:paraId="5D65E379" w14:textId="77777777" w:rsidR="00CF3D83" w:rsidRDefault="002011B2">
      <w:pPr>
        <w:pStyle w:val="BodyText"/>
        <w:spacing w:line="276" w:lineRule="auto"/>
      </w:pPr>
      <w:r>
        <w:rPr>
          <w:b/>
        </w:rPr>
        <w:t>About</w:t>
      </w:r>
      <w:r>
        <w:rPr>
          <w:b/>
          <w:spacing w:val="-7"/>
        </w:rPr>
        <w:t xml:space="preserve"> </w:t>
      </w:r>
      <w:r>
        <w:rPr>
          <w:b/>
        </w:rPr>
        <w:t>CZI:</w:t>
      </w:r>
      <w:r>
        <w:rPr>
          <w:b/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</w:t>
      </w:r>
      <w:r>
        <w:rPr>
          <w:spacing w:val="-7"/>
        </w:rPr>
        <w:t xml:space="preserve"> </w:t>
      </w:r>
      <w:r>
        <w:t>Zuckerberg</w:t>
      </w:r>
      <w:r>
        <w:rPr>
          <w:spacing w:val="-7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founded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solve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society’s</w:t>
      </w:r>
      <w:r>
        <w:rPr>
          <w:spacing w:val="-7"/>
        </w:rPr>
        <w:t xml:space="preserve"> </w:t>
      </w:r>
      <w:r>
        <w:t>toughest</w:t>
      </w:r>
      <w:r>
        <w:rPr>
          <w:spacing w:val="1"/>
        </w:rPr>
        <w:t xml:space="preserve"> </w:t>
      </w:r>
      <w:r>
        <w:t>challenges — from eradicating disease and improving education, to addressing the needs of our local</w:t>
      </w:r>
      <w:r>
        <w:rPr>
          <w:spacing w:val="1"/>
        </w:rPr>
        <w:t xml:space="preserve"> </w:t>
      </w:r>
      <w:r>
        <w:t>communities. Our mission is to build a more inclusive, just, and healthy future for everyone. For more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visit:</w:t>
      </w:r>
      <w:r>
        <w:rPr>
          <w:spacing w:val="-1"/>
        </w:rPr>
        <w:t xml:space="preserve"> </w:t>
      </w:r>
      <w:hyperlink r:id="rId21">
        <w:r>
          <w:rPr>
            <w:color w:val="1154CC"/>
            <w:u w:val="thick" w:color="1154CC"/>
          </w:rPr>
          <w:t>chanzuckerberg.com</w:t>
        </w:r>
      </w:hyperlink>
    </w:p>
    <w:sectPr w:rsidR="00CF3D83">
      <w:pgSz w:w="12240" w:h="15840"/>
      <w:pgMar w:top="2140" w:right="1340" w:bottom="280" w:left="134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F4D9" w14:textId="77777777" w:rsidR="002011B2" w:rsidRDefault="002011B2">
      <w:r>
        <w:separator/>
      </w:r>
    </w:p>
  </w:endnote>
  <w:endnote w:type="continuationSeparator" w:id="0">
    <w:p w14:paraId="074EC618" w14:textId="77777777" w:rsidR="002011B2" w:rsidRDefault="0020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D1B2" w14:textId="77777777" w:rsidR="002011B2" w:rsidRDefault="002011B2">
      <w:r>
        <w:separator/>
      </w:r>
    </w:p>
  </w:footnote>
  <w:footnote w:type="continuationSeparator" w:id="0">
    <w:p w14:paraId="28F4B688" w14:textId="77777777" w:rsidR="002011B2" w:rsidRDefault="0020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E37A" w14:textId="77777777" w:rsidR="00CF3D83" w:rsidRDefault="002011B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2784" behindDoc="1" locked="0" layoutInCell="1" allowOverlap="1" wp14:anchorId="5D65E37B" wp14:editId="5D65E37C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476250" cy="885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3296" behindDoc="1" locked="0" layoutInCell="1" allowOverlap="1" wp14:anchorId="5D65E37D" wp14:editId="5D65E37E">
          <wp:simplePos x="0" y="0"/>
          <wp:positionH relativeFrom="page">
            <wp:posOffset>1552575</wp:posOffset>
          </wp:positionH>
          <wp:positionV relativeFrom="page">
            <wp:posOffset>619125</wp:posOffset>
          </wp:positionV>
          <wp:extent cx="1647825" cy="5429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3808" behindDoc="1" locked="0" layoutInCell="1" allowOverlap="1" wp14:anchorId="5D65E37F" wp14:editId="5D65E380">
          <wp:simplePos x="0" y="0"/>
          <wp:positionH relativeFrom="page">
            <wp:posOffset>3390900</wp:posOffset>
          </wp:positionH>
          <wp:positionV relativeFrom="page">
            <wp:posOffset>619125</wp:posOffset>
          </wp:positionV>
          <wp:extent cx="790575" cy="6477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4320" behindDoc="1" locked="0" layoutInCell="1" allowOverlap="1" wp14:anchorId="5D65E381" wp14:editId="5D65E382">
          <wp:simplePos x="0" y="0"/>
          <wp:positionH relativeFrom="page">
            <wp:posOffset>4362450</wp:posOffset>
          </wp:positionH>
          <wp:positionV relativeFrom="page">
            <wp:posOffset>762000</wp:posOffset>
          </wp:positionV>
          <wp:extent cx="1038224" cy="34290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38224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D83"/>
    <w:rsid w:val="000773F9"/>
    <w:rsid w:val="002011B2"/>
    <w:rsid w:val="00362B78"/>
    <w:rsid w:val="003D2AAC"/>
    <w:rsid w:val="0041275D"/>
    <w:rsid w:val="00517B6D"/>
    <w:rsid w:val="006720BF"/>
    <w:rsid w:val="006A0BD8"/>
    <w:rsid w:val="0091490B"/>
    <w:rsid w:val="0099305B"/>
    <w:rsid w:val="009C7EE3"/>
    <w:rsid w:val="00B462AE"/>
    <w:rsid w:val="00B95CAD"/>
    <w:rsid w:val="00CF3D83"/>
    <w:rsid w:val="00D05C93"/>
    <w:rsid w:val="00D544B1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E358"/>
  <w15:docId w15:val="{6E45E1CB-99A3-4669-8750-B5792AF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91"/>
      <w:ind w:left="1583" w:right="158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0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C93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lab.ucla.edu/" TargetMode="External"/><Relationship Id="rId13" Type="http://schemas.openxmlformats.org/officeDocument/2006/relationships/hyperlink" Target="http://chanzuckerberg.com/" TargetMode="External"/><Relationship Id="rId18" Type="http://schemas.openxmlformats.org/officeDocument/2006/relationships/hyperlink" Target="https://citiesandschools.berkeley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anzuckerberg.com/" TargetMode="External"/><Relationship Id="rId7" Type="http://schemas.openxmlformats.org/officeDocument/2006/relationships/hyperlink" Target="https://citylab.ucla.edu/" TargetMode="External"/><Relationship Id="rId12" Type="http://schemas.openxmlformats.org/officeDocument/2006/relationships/hyperlink" Target="https://www.csba.org/" TargetMode="External"/><Relationship Id="rId17" Type="http://schemas.openxmlformats.org/officeDocument/2006/relationships/hyperlink" Target="https://citylab.ucla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ba.org/GovernanceAndPolicyResources/ResearchAndPolicyBriefs/Education-Workforce-Housing" TargetMode="External"/><Relationship Id="rId20" Type="http://schemas.openxmlformats.org/officeDocument/2006/relationships/hyperlink" Target="https://www.csba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tflint@csba.org" TargetMode="External"/><Relationship Id="rId11" Type="http://schemas.openxmlformats.org/officeDocument/2006/relationships/hyperlink" Target="https://www.csba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ternercenter.berkeley.edu/" TargetMode="External"/><Relationship Id="rId19" Type="http://schemas.openxmlformats.org/officeDocument/2006/relationships/hyperlink" Target="http://www.ternercenter.berkeley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itiesandschools.berkeley.edu/" TargetMode="External"/><Relationship Id="rId14" Type="http://schemas.openxmlformats.org/officeDocument/2006/relationships/hyperlink" Target="https://www.csba.org/-/media/CSBA/Files/GovernanceResources/ResearchPapers/Handbook-Education-Workforce-Housing-in-CaliforniacityLAB-CCS-Terner-Center2022pdf.ashx?la=en&amp;rev=69f30a5d9d824856a753d449785ddc2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EWH press release FINAL 02.02.22</vt:lpstr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EWH press release FINAL 02.02.22</dc:title>
  <cp:lastModifiedBy>Kimberly Sellery</cp:lastModifiedBy>
  <cp:revision>2</cp:revision>
  <dcterms:created xsi:type="dcterms:W3CDTF">2022-02-10T15:44:00Z</dcterms:created>
  <dcterms:modified xsi:type="dcterms:W3CDTF">2022-02-10T15:44:00Z</dcterms:modified>
</cp:coreProperties>
</file>